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Zakres wiedzy i umiejętności</w:t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Wojewódzkiego Konkursu Przedmiotowego z Matematyki</w:t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dla uczniów szkół podstawowych województwa śląskiego</w:t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 roku szkolnym 202</w:t>
      </w:r>
      <w:r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/202</w:t>
      </w:r>
      <w:r>
        <w:rPr>
          <w:b/>
          <w:bCs/>
          <w:sz w:val="32"/>
          <w:szCs w:val="32"/>
        </w:rPr>
        <w:t>6</w:t>
      </w:r>
    </w:p>
    <w:p>
      <w:pPr>
        <w:pStyle w:val="Normal"/>
        <w:rPr/>
      </w:pPr>
      <w:r>
        <w:rPr/>
        <w:t>I</w:t>
      </w:r>
      <w:r>
        <w:rPr>
          <w:sz w:val="32"/>
          <w:szCs w:val="32"/>
        </w:rPr>
        <w:t>Zakres umiejętności</w:t>
      </w:r>
    </w:p>
    <w:p>
      <w:pPr>
        <w:pStyle w:val="Normal"/>
        <w:rPr/>
      </w:pPr>
      <w:r>
        <w:rPr/>
        <w:t>1) Sprawność rachunkowa.</w:t>
      </w:r>
    </w:p>
    <w:p>
      <w:pPr>
        <w:pStyle w:val="Normal"/>
        <w:rPr/>
      </w:pPr>
      <w:r>
        <w:rPr/>
        <w:t>Uczeń:</w:t>
      </w:r>
    </w:p>
    <w:p>
      <w:pPr>
        <w:pStyle w:val="Normal"/>
        <w:rPr/>
      </w:pPr>
      <w:r>
        <w:rPr/>
        <w:t xml:space="preserve"> </w:t>
      </w:r>
      <w:r>
        <w:rPr/>
        <w:t>1) wykonuje działania i wykorzystuje te umiejętności w sytuacjach praktycznych,</w:t>
      </w:r>
    </w:p>
    <w:p>
      <w:pPr>
        <w:pStyle w:val="Normal"/>
        <w:rPr/>
      </w:pPr>
      <w:r>
        <w:rPr/>
        <w:t xml:space="preserve"> </w:t>
      </w:r>
      <w:r>
        <w:rPr/>
        <w:t>2) weryfikuje i interpretuje otrzymane wyniki oraz ocenia sensowność rozwiązania,</w:t>
      </w:r>
    </w:p>
    <w:p>
      <w:pPr>
        <w:pStyle w:val="Normal"/>
        <w:rPr/>
      </w:pPr>
      <w:r>
        <w:rPr/>
        <w:t>2) Wykorzystanie i tworzenie informacji.</w:t>
      </w:r>
    </w:p>
    <w:p>
      <w:pPr>
        <w:pStyle w:val="Normal"/>
        <w:rPr/>
      </w:pPr>
      <w:r>
        <w:rPr/>
        <w:t>Uczeń:</w:t>
      </w:r>
    </w:p>
    <w:p>
      <w:pPr>
        <w:pStyle w:val="Normal"/>
        <w:rPr/>
      </w:pPr>
      <w:r>
        <w:rPr/>
        <w:t>1) odczytuje, interpretuje i przetwarza dane przedstawione w różnej formie,</w:t>
      </w:r>
    </w:p>
    <w:p>
      <w:pPr>
        <w:pStyle w:val="Normal"/>
        <w:rPr/>
      </w:pPr>
      <w:r>
        <w:rPr/>
        <w:t>2) interpretuje teksty o charakterze matematycznym oraz graficznie przedstawia dane,</w:t>
      </w:r>
    </w:p>
    <w:p>
      <w:pPr>
        <w:pStyle w:val="Normal"/>
        <w:rPr/>
      </w:pPr>
      <w:r>
        <w:rPr/>
        <w:t>3) używa język matematyczny do opisu rozumowania i uzyskanych wyników.</w:t>
      </w:r>
    </w:p>
    <w:p>
      <w:pPr>
        <w:pStyle w:val="Normal"/>
        <w:rPr/>
      </w:pPr>
      <w:r>
        <w:rPr/>
        <w:t xml:space="preserve"> </w:t>
      </w:r>
      <w:r>
        <w:rPr/>
        <w:t>3) Wykorzystanie i interpretowanie reprezentacji.</w:t>
      </w:r>
    </w:p>
    <w:p>
      <w:pPr>
        <w:pStyle w:val="Normal"/>
        <w:rPr/>
      </w:pPr>
      <w:r>
        <w:rPr/>
        <w:t xml:space="preserve"> </w:t>
      </w:r>
      <w:r>
        <w:rPr/>
        <w:t>Uczeń:</w:t>
      </w:r>
    </w:p>
    <w:p>
      <w:pPr>
        <w:pStyle w:val="Normal"/>
        <w:rPr/>
      </w:pPr>
      <w:r>
        <w:rPr/>
        <w:t>1) używa proste, dobrze znane obiekty matematyczne, interpretuje pojęcia matematyczne</w:t>
      </w:r>
    </w:p>
    <w:p>
      <w:pPr>
        <w:pStyle w:val="Normal"/>
        <w:rPr/>
      </w:pPr>
      <w:r>
        <w:rPr/>
        <w:t>i operuje obiektami matematycznymi,</w:t>
      </w:r>
    </w:p>
    <w:p>
      <w:pPr>
        <w:pStyle w:val="Normal"/>
        <w:rPr/>
      </w:pPr>
      <w:r>
        <w:rPr/>
        <w:t>2) dobiera model matematyczny do prostej sytuacji oraz buduje go w różnych kontekstach,</w:t>
      </w:r>
    </w:p>
    <w:p>
      <w:pPr>
        <w:pStyle w:val="Normal"/>
        <w:rPr/>
      </w:pPr>
      <w:r>
        <w:rPr/>
        <w:t>także w kontekście praktycznym.</w:t>
      </w:r>
    </w:p>
    <w:p>
      <w:pPr>
        <w:pStyle w:val="Normal"/>
        <w:rPr/>
      </w:pPr>
      <w:r>
        <w:rPr/>
        <w:t xml:space="preserve"> </w:t>
      </w:r>
      <w:r>
        <w:rPr/>
        <w:t>4) Rozumowanie i argumentacja.</w:t>
      </w:r>
    </w:p>
    <w:p>
      <w:pPr>
        <w:pStyle w:val="Normal"/>
        <w:rPr/>
      </w:pPr>
      <w:r>
        <w:rPr/>
        <w:t xml:space="preserve"> </w:t>
      </w:r>
      <w:r>
        <w:rPr/>
        <w:t>Uczeń:</w:t>
      </w:r>
    </w:p>
    <w:p>
      <w:pPr>
        <w:pStyle w:val="Normal"/>
        <w:rPr/>
      </w:pPr>
      <w:r>
        <w:rPr/>
        <w:t>1) przeprowadza proste rozumowanie, podaje argumenty uzasadniające poprawność</w:t>
      </w:r>
    </w:p>
    <w:p>
      <w:pPr>
        <w:pStyle w:val="Normal"/>
        <w:rPr/>
      </w:pPr>
      <w:r>
        <w:rPr/>
        <w:t>rozumowania, rozróżnia dowód od przykładu,</w:t>
      </w:r>
    </w:p>
    <w:p>
      <w:pPr>
        <w:pStyle w:val="Normal"/>
        <w:rPr/>
      </w:pPr>
      <w:r>
        <w:rPr/>
        <w:t>2) dostrzega regularności, podobieństwa oraz analogie i formułuje wnioski na ich</w:t>
      </w:r>
    </w:p>
    <w:p>
      <w:pPr>
        <w:pStyle w:val="Normal"/>
        <w:rPr/>
      </w:pPr>
      <w:r>
        <w:rPr/>
        <w:t>podstawie,</w:t>
      </w:r>
    </w:p>
    <w:p>
      <w:pPr>
        <w:pStyle w:val="Normal"/>
        <w:rPr/>
      </w:pPr>
      <w:r>
        <w:rPr/>
        <w:t>3) stosuje strategię wynikającą z treści zadania, tworzy strategię rozwiązania problemu,</w:t>
      </w:r>
    </w:p>
    <w:p>
      <w:pPr>
        <w:pStyle w:val="Normal"/>
        <w:rPr/>
      </w:pPr>
      <w:r>
        <w:rPr/>
        <w:t>również w rozwiązaniach wieloetapowych oraz w takich, które wymagają umiejętności</w:t>
      </w:r>
    </w:p>
    <w:p>
      <w:pPr>
        <w:pStyle w:val="Normal"/>
        <w:rPr/>
      </w:pPr>
      <w:r>
        <w:rPr/>
        <w:t>łączenia wiedzy z różnych działów matematyki.</w:t>
      </w:r>
    </w:p>
    <w:p>
      <w:pPr>
        <w:pStyle w:val="Normal"/>
        <w:rPr/>
      </w:pPr>
      <w:r>
        <w:rPr/>
      </w:r>
    </w:p>
    <w:p>
      <w:pPr>
        <w:pStyle w:val="Normal"/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Zakres wiedzy </w:t>
      </w:r>
    </w:p>
    <w:p>
      <w:pPr>
        <w:pStyle w:val="Normal"/>
        <w:rPr>
          <w:bCs/>
        </w:rPr>
      </w:pPr>
      <w:r>
        <w:rPr>
          <w:bCs/>
        </w:rPr>
      </w:r>
    </w:p>
    <w:p>
      <w:pPr>
        <w:pStyle w:val="Normal"/>
        <w:rPr>
          <w:bCs/>
        </w:rPr>
      </w:pPr>
      <w:r>
        <w:rPr>
          <w:bCs/>
        </w:rPr>
        <w:t>Konkurs obejmuje i poszerza treści podstawy programowej z matematyki</w:t>
      </w:r>
      <w:r>
        <w:rPr>
          <w:rStyle w:val="Zakotwiczenieprzypisudolnego"/>
          <w:bCs/>
          <w:vertAlign w:val="superscript"/>
        </w:rPr>
        <w:footnoteReference w:id="2"/>
      </w:r>
      <w:r>
        <w:rPr>
          <w:bCs/>
        </w:rPr>
        <w:t xml:space="preserve"> w szkole podstawowej.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i/>
          <w:i/>
        </w:rPr>
      </w:pPr>
      <w:r>
        <w:rPr>
          <w:b/>
          <w:bCs/>
        </w:rPr>
        <w:t>Wiadomości i umiejętności wymagane od uczestnika konkursu</w:t>
      </w:r>
    </w:p>
    <w:tbl>
      <w:tblPr>
        <w:tblW w:w="10020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1" w:noVBand="1" w:lastRow="0" w:firstColumn="1" w:lastColumn="0" w:noHBand="0" w:val="04a0"/>
      </w:tblPr>
      <w:tblGrid>
        <w:gridCol w:w="5367"/>
        <w:gridCol w:w="1417"/>
        <w:gridCol w:w="3236"/>
      </w:tblGrid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b/>
                <w:b/>
              </w:rPr>
            </w:pPr>
            <w:r>
              <w:rPr>
                <w:b/>
              </w:rPr>
              <w:t>Opis wymagań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b/>
                <w:b/>
                <w:bCs/>
              </w:rPr>
            </w:pPr>
            <w:r>
              <w:rPr>
                <w:b/>
              </w:rPr>
              <w:t>Treści nauczania w podstawie programowej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b/>
                <w:bCs/>
              </w:rPr>
              <w:t>Wykaz literatury i tekstów internetowych obowiązujących uczestników oraz stanowiących pomoc dla nauczyciela</w:t>
            </w:r>
          </w:p>
        </w:tc>
      </w:tr>
      <w:tr>
        <w:trPr/>
        <w:tc>
          <w:tcPr>
            <w:tcW w:w="10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before="0" w:after="160"/>
              <w:rPr>
                <w:b/>
                <w:b/>
              </w:rPr>
            </w:pPr>
            <w:r>
              <w:rPr>
                <w:b/>
                <w:bCs/>
              </w:rPr>
              <w:t>Stopień szkolny</w:t>
            </w:r>
          </w:p>
        </w:tc>
      </w:tr>
      <w:tr>
        <w:trPr/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pacing w:before="0" w:after="160"/>
              <w:rPr/>
            </w:pPr>
            <w:r>
              <w:rPr>
                <w:bCs/>
              </w:rPr>
              <w:t>Zadania na stopniu szkolnym obejmują wiadomości i umiejętności z zakresu następujących zagadnień:</w:t>
            </w:r>
          </w:p>
        </w:tc>
        <w:tc>
          <w:tcPr>
            <w:tcW w:w="3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rPr/>
            </w:pPr>
            <w:r>
              <w:rPr/>
              <w:t>Podręczniki do nauczania matematyki dopuszczone do użytku w szkole podstawowej, a także dostosowane do nich zeszyty ćwiczeń.</w:t>
            </w:r>
          </w:p>
          <w:p>
            <w:pPr>
              <w:pStyle w:val="Normal"/>
              <w:widowControl w:val="false"/>
              <w:spacing w:before="0" w:after="160"/>
              <w:ind w:left="474" w:hanging="0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pacing w:before="0" w:after="160"/>
              <w:rPr/>
            </w:pPr>
            <w:r>
              <w:rPr/>
              <w:t>Liczby naturalne w dziesiątkowym układzie pozycyjnym. Zapis liczb naturalnych w zakresie 1-3000 w systemie rzymskim i dziesiątkowym.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I</w:t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(kl. IV-VIII)</w:t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pacing w:before="0" w:after="160"/>
              <w:rPr/>
            </w:pPr>
            <w:r>
              <w:rPr/>
              <w:t>Działania na liczbach naturalnych.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II.1-6</w:t>
            </w:r>
          </w:p>
          <w:p>
            <w:pPr>
              <w:pStyle w:val="Normal"/>
              <w:widowControl w:val="false"/>
              <w:rPr/>
            </w:pPr>
            <w:r>
              <w:rPr/>
              <w:t>II.8-12</w:t>
            </w:r>
          </w:p>
          <w:p>
            <w:pPr>
              <w:pStyle w:val="Normal"/>
              <w:widowControl w:val="false"/>
              <w:rPr/>
            </w:pPr>
            <w:r>
              <w:rPr/>
              <w:t>II.15-17</w:t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(kl. IV-VIII)</w:t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pacing w:before="0" w:after="160"/>
              <w:rPr/>
            </w:pPr>
            <w:r>
              <w:rPr/>
              <w:t>Cechy podzielności liczb z uwzględnieniem podzielności przez liczby: 6, 12, 15, itp.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II. 7</w:t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(kl. IV-VIII)</w:t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spacing w:before="0" w:after="160"/>
              <w:rPr/>
            </w:pPr>
            <w:r>
              <w:rPr/>
              <w:t>NWD i NWW oraz średnia arytmetyczna.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II. 13</w:t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(kl. IV-VIII)</w:t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rPr/>
            </w:pPr>
            <w:r>
              <w:rPr/>
              <w:t xml:space="preserve">Wielokrotności danej liczby, kwadraty, sześciany, liczby pierwsze, liczby złożone. 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rPr/>
            </w:pPr>
            <w:r>
              <w:rPr/>
              <w:t>Własności potęg, działania na potęgach.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pacing w:before="0" w:after="160"/>
              <w:rPr/>
            </w:pPr>
            <w:r>
              <w:rPr/>
              <w:t>Własności pierwiastka kwadratowego i sześciennego, działania na pierwiastkach.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II. 14</w:t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(kl. IV-VIII)</w:t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0" w:after="160"/>
              <w:rPr/>
            </w:pPr>
            <w:r>
              <w:rPr/>
              <w:t>Liczby całkowite. Wartość bezwzględna, wykorzystanie w zadaniach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III</w:t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(kl. IV-VIII)</w:t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spacing w:before="0" w:after="160"/>
              <w:rPr/>
            </w:pPr>
            <w:r>
              <w:rPr/>
              <w:t>Ułamki zwykłe i dziesiętne.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IV</w:t>
            </w:r>
          </w:p>
          <w:p>
            <w:pPr>
              <w:pStyle w:val="Normal"/>
              <w:widowControl w:val="false"/>
              <w:spacing w:before="0" w:after="160"/>
              <w:rPr>
                <w:lang w:val="en-US"/>
              </w:rPr>
            </w:pPr>
            <w:r>
              <w:rPr/>
              <w:t>(kl. IV-VIII)</w:t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spacing w:before="0" w:after="160"/>
              <w:rPr/>
            </w:pPr>
            <w:r>
              <w:rPr/>
              <w:t>Działania na ułamkach zwykłych i dziesiętnych.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</w:t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(kl. IV-VIII)</w:t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spacing w:before="0" w:after="160"/>
              <w:rPr/>
            </w:pPr>
            <w:r>
              <w:rPr/>
              <w:t>Elementy algebry- działania na wyrażeniach algebraicznych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VI</w:t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(kl. IV-VIII)</w:t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spacing w:before="0" w:after="160"/>
              <w:rPr/>
            </w:pPr>
            <w:r>
              <w:rPr/>
              <w:t xml:space="preserve">Proste i odcinki.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VII</w:t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(kl. IV-VIII)</w:t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160"/>
              <w:rPr/>
            </w:pPr>
            <w:r>
              <w:rPr/>
              <w:t xml:space="preserve">Kąty.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VIII</w:t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(kl. IV-VIII)</w:t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4"/>
              </w:numPr>
              <w:spacing w:before="0" w:after="160"/>
              <w:rPr/>
            </w:pPr>
            <w:r>
              <w:rPr/>
              <w:t xml:space="preserve">Rodzaje i własności kątów, trójkątów, czworokątów, kół i okręgów.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IX</w:t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(kl. IV-VIII)</w:t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spacing w:before="0" w:after="160"/>
              <w:rPr/>
            </w:pPr>
            <w:r>
              <w:rPr/>
              <w:t>Obliczanie obwodów i pól wielokątów oraz miar kątów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XI. 1-2</w:t>
            </w:r>
          </w:p>
          <w:p>
            <w:pPr>
              <w:pStyle w:val="Normal"/>
              <w:widowControl w:val="false"/>
              <w:rPr/>
            </w:pPr>
            <w:r>
              <w:rPr/>
              <w:t>XI. 4</w:t>
            </w:r>
          </w:p>
          <w:p>
            <w:pPr>
              <w:pStyle w:val="Normal"/>
              <w:widowControl w:val="false"/>
              <w:rPr/>
            </w:pPr>
            <w:r>
              <w:rPr/>
              <w:t>XI. 7</w:t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(kl. IV-VIII)</w:t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6"/>
              </w:numPr>
              <w:spacing w:before="0" w:after="160"/>
              <w:rPr/>
            </w:pPr>
            <w:r>
              <w:rPr/>
              <w:t>Posługiwanie się i zamiana jednostek długości, masy, czasu, powierzchni objętości.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XI. 3</w:t>
            </w:r>
          </w:p>
          <w:p>
            <w:pPr>
              <w:pStyle w:val="Normal"/>
              <w:widowControl w:val="false"/>
              <w:rPr/>
            </w:pPr>
            <w:r>
              <w:rPr/>
              <w:t>XI. 6</w:t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7"/>
              </w:numPr>
              <w:spacing w:before="0" w:after="160"/>
              <w:rPr/>
            </w:pPr>
            <w:r>
              <w:rPr/>
              <w:t>Obliczenia praktyczne.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XII. 1-6</w:t>
            </w:r>
          </w:p>
          <w:p>
            <w:pPr>
              <w:pStyle w:val="Normal"/>
              <w:widowControl w:val="false"/>
              <w:rPr/>
            </w:pPr>
            <w:r>
              <w:rPr/>
              <w:t>XII. 8-9</w:t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(kl. IV-VIII)</w:t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8"/>
              </w:numPr>
              <w:spacing w:before="0" w:after="160"/>
              <w:rPr/>
            </w:pPr>
            <w:r>
              <w:rPr/>
              <w:t>Elementy statystyki.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XIII</w:t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(kl. IV-VIII)</w:t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9"/>
              </w:numPr>
              <w:spacing w:before="0" w:after="160"/>
              <w:rPr/>
            </w:pPr>
            <w:r>
              <w:rPr/>
              <w:t>Zadania tekstowe.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XIV</w:t>
            </w:r>
          </w:p>
          <w:p>
            <w:pPr>
              <w:pStyle w:val="Normal"/>
              <w:widowControl w:val="false"/>
              <w:spacing w:before="0" w:after="160"/>
              <w:rPr>
                <w:lang w:val="en-US"/>
              </w:rPr>
            </w:pPr>
            <w:r>
              <w:rPr/>
              <w:t>(kl. IV-VIII)</w:t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0"/>
              </w:numPr>
              <w:spacing w:before="0" w:after="160"/>
              <w:rPr/>
            </w:pPr>
            <w:r>
              <w:rPr>
                <w:bCs/>
              </w:rPr>
              <w:t>Wiedza merytoryczna uczniów powinna być poparta</w:t>
            </w:r>
            <w:r>
              <w:rPr>
                <w:b/>
                <w:bCs/>
              </w:rPr>
              <w:t xml:space="preserve"> umiejętnością </w:t>
            </w:r>
            <w:r>
              <w:rPr>
                <w:bCs/>
              </w:rPr>
              <w:t>k</w:t>
            </w:r>
            <w:r>
              <w:rPr/>
              <w:t xml:space="preserve">rytycznego i logicznego myślenia, rozumowania </w:t>
            </w:r>
            <w:r>
              <w:rPr>
                <w:bCs/>
              </w:rPr>
              <w:t>(</w:t>
            </w:r>
            <w:r>
              <w:rPr/>
              <w:t>na podstawie celów kształcenia – wymagań ogólnych w </w:t>
            </w:r>
            <w:r>
              <w:rPr>
                <w:i/>
                <w:iCs/>
              </w:rPr>
              <w:t>podstawie programowej</w:t>
            </w:r>
            <w:r>
              <w:rPr/>
              <w:t>).</w:t>
            </w:r>
          </w:p>
        </w:tc>
        <w:tc>
          <w:tcPr>
            <w:tcW w:w="3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Uczniowie na każdym z etapów konkursu powinni posiadać przybory do pisania i rysowania: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pióro lub długopis, ołówek – przeznaczony do wykonywania rysunków, gumkę do mazania oraz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przybory geometryczne (ekierka, linijka, cyrkiel).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b/>
          <w:bCs/>
        </w:rPr>
        <w:t>Zabrania się korzystania z kalkulatorów i urządzeń telekomunikacyjnych</w:t>
      </w:r>
      <w:r>
        <w:rPr/>
        <w:t>.</w:t>
        <w:br/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rzypisdolny"/>
        <w:jc w:val="both"/>
        <w:rPr>
          <w:rFonts w:ascii="Calibri" w:hAnsi="Calibri" w:eastAsia="Times New Roman" w:cs="Calibri"/>
          <w:sz w:val="19"/>
          <w:szCs w:val="19"/>
          <w:lang w:eastAsia="ar-SA"/>
        </w:rPr>
      </w:pPr>
      <w:r>
        <w:rPr>
          <w:rStyle w:val="Znakiprzypiswdolnych"/>
        </w:rPr>
        <w:footnoteRef/>
      </w: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834" w:hanging="360"/>
      </w:pPr>
      <w:rPr/>
    </w:lvl>
    <w:lvl w:ilvl="1">
      <w:start w:val="1"/>
      <w:numFmt w:val="upperLetter"/>
      <w:lvlText w:val="%2."/>
      <w:lvlJc w:val="left"/>
      <w:pPr>
        <w:tabs>
          <w:tab w:val="num" w:pos="0"/>
        </w:tabs>
        <w:ind w:left="155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9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5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4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3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1c3350"/>
    <w:rPr>
      <w:sz w:val="20"/>
      <w:szCs w:val="20"/>
    </w:rPr>
  </w:style>
  <w:style w:type="character" w:styleId="Znakiprzypiswdolnych">
    <w:name w:val="Znaki przypisów dolnych"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1c3350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LibreOffice/7.3.4.2$Windows_X86_64 LibreOffice_project/728fec16bd5f605073805c3c9e7c4212a0120dc5</Application>
  <AppVersion>15.0000</AppVersion>
  <Pages>4</Pages>
  <Words>514</Words>
  <Characters>3365</Characters>
  <CharactersWithSpaces>3769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</dc:creator>
  <dc:description/>
  <cp:lastModifiedBy/>
  <cp:revision>4</cp:revision>
  <dcterms:created xsi:type="dcterms:W3CDTF">2020-11-06T12:02:00Z</dcterms:created>
  <dcterms:modified xsi:type="dcterms:W3CDTF">2025-09-09T09:20:43Z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